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1361"/>
        <w:gridCol w:w="2892"/>
        <w:gridCol w:w="1361"/>
        <w:gridCol w:w="2892"/>
      </w:tblGrid>
      <w:tr w14:paraId="65A6E2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00" w:type="pct"/>
            <w:tcBorders>
              <w:top w:val="nil"/>
              <w:left w:val="nil"/>
              <w:bottom w:val="single" w:color="D8D7D7" w:sz="4" w:space="0"/>
              <w:right w:val="nil"/>
            </w:tcBorders>
            <w:shd w:val="clear" w:color="auto" w:fill="F3F3F3"/>
            <w:tcMar>
              <w:top w:w="100" w:type="dxa"/>
              <w:left w:w="100" w:type="dxa"/>
              <w:bottom w:w="100" w:type="dxa"/>
              <w:right w:w="100" w:type="dxa"/>
            </w:tcMar>
            <w:vAlign w:val="center"/>
          </w:tcPr>
          <w:p w14:paraId="603B86FF">
            <w:pPr>
              <w:keepNext w:val="0"/>
              <w:keepLines w:val="0"/>
              <w:widowControl/>
              <w:suppressLineNumbers w:val="0"/>
              <w:spacing w:before="0" w:beforeAutospacing="0" w:after="0" w:afterAutospacing="0"/>
              <w:ind w:left="0" w:right="0"/>
              <w:jc w:val="center"/>
              <w:rPr>
                <w:rFonts w:ascii="微软雅黑" w:hAnsi="微软雅黑" w:eastAsia="微软雅黑" w:cs="微软雅黑"/>
                <w:sz w:val="21"/>
                <w:szCs w:val="21"/>
              </w:rPr>
            </w:pPr>
            <w:r>
              <w:rPr>
                <w:rFonts w:hint="eastAsia" w:ascii="微软雅黑" w:hAnsi="微软雅黑" w:eastAsia="微软雅黑" w:cs="微软雅黑"/>
                <w:kern w:val="0"/>
                <w:sz w:val="21"/>
                <w:szCs w:val="21"/>
                <w:lang w:val="en-US" w:eastAsia="zh-CN" w:bidi="ar"/>
              </w:rPr>
              <w:t>索引号</w:t>
            </w:r>
          </w:p>
        </w:tc>
        <w:tc>
          <w:tcPr>
            <w:tcW w:w="1700" w:type="pct"/>
            <w:tcBorders>
              <w:top w:val="nil"/>
              <w:left w:val="nil"/>
              <w:bottom w:val="single" w:color="D8D7D7" w:sz="4" w:space="0"/>
              <w:right w:val="nil"/>
            </w:tcBorders>
            <w:shd w:val="clear" w:color="auto" w:fill="FFFFFF"/>
            <w:tcMar>
              <w:top w:w="100" w:type="dxa"/>
              <w:left w:w="100" w:type="dxa"/>
              <w:bottom w:w="100" w:type="dxa"/>
              <w:right w:w="100" w:type="dxa"/>
            </w:tcMar>
            <w:vAlign w:val="center"/>
          </w:tcPr>
          <w:p w14:paraId="2B446FA7">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lang w:val="en-US" w:eastAsia="zh-CN" w:bidi="ar"/>
              </w:rPr>
              <w:t>XXGKZC-2022-10101</w:t>
            </w:r>
          </w:p>
        </w:tc>
        <w:tc>
          <w:tcPr>
            <w:tcW w:w="800" w:type="pct"/>
            <w:tcBorders>
              <w:top w:val="nil"/>
              <w:left w:val="nil"/>
              <w:bottom w:val="single" w:color="D8D7D7" w:sz="4" w:space="0"/>
              <w:right w:val="nil"/>
            </w:tcBorders>
            <w:shd w:val="clear" w:color="auto" w:fill="F3F3F3"/>
            <w:tcMar>
              <w:top w:w="100" w:type="dxa"/>
              <w:left w:w="100" w:type="dxa"/>
              <w:bottom w:w="100" w:type="dxa"/>
              <w:right w:w="100" w:type="dxa"/>
            </w:tcMar>
            <w:vAlign w:val="center"/>
          </w:tcPr>
          <w:p w14:paraId="2A0E4103">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lang w:val="en-US" w:eastAsia="zh-CN" w:bidi="ar"/>
              </w:rPr>
              <w:t>主题分类</w:t>
            </w:r>
          </w:p>
        </w:tc>
        <w:tc>
          <w:tcPr>
            <w:tcW w:w="1700" w:type="pct"/>
            <w:tcBorders>
              <w:top w:val="nil"/>
              <w:left w:val="nil"/>
              <w:bottom w:val="single" w:color="D8D7D7" w:sz="4" w:space="0"/>
              <w:right w:val="nil"/>
            </w:tcBorders>
            <w:shd w:val="clear" w:color="auto" w:fill="FFFFFF"/>
            <w:tcMar>
              <w:top w:w="100" w:type="dxa"/>
              <w:left w:w="100" w:type="dxa"/>
              <w:bottom w:w="100" w:type="dxa"/>
              <w:right w:w="100" w:type="dxa"/>
            </w:tcMar>
            <w:vAlign w:val="center"/>
          </w:tcPr>
          <w:p w14:paraId="67CA5D98">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lang w:val="en-US" w:eastAsia="zh-CN" w:bidi="ar"/>
              </w:rPr>
              <w:t>政策 / 器械监管</w:t>
            </w:r>
          </w:p>
        </w:tc>
      </w:tr>
      <w:tr w14:paraId="12DBFD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0" w:type="auto"/>
            <w:tcBorders>
              <w:top w:val="nil"/>
              <w:left w:val="nil"/>
              <w:bottom w:val="single" w:color="D8D7D7" w:sz="4" w:space="0"/>
              <w:right w:val="nil"/>
            </w:tcBorders>
            <w:shd w:val="clear" w:color="auto" w:fill="F3F3F3"/>
            <w:tcMar>
              <w:top w:w="100" w:type="dxa"/>
              <w:left w:w="100" w:type="dxa"/>
              <w:bottom w:w="100" w:type="dxa"/>
              <w:right w:w="100" w:type="dxa"/>
            </w:tcMar>
            <w:vAlign w:val="center"/>
          </w:tcPr>
          <w:p w14:paraId="76155BCA">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lang w:val="en-US" w:eastAsia="zh-CN" w:bidi="ar"/>
              </w:rPr>
              <w:t>标题</w:t>
            </w:r>
          </w:p>
        </w:tc>
        <w:tc>
          <w:tcPr>
            <w:tcW w:w="0" w:type="auto"/>
            <w:gridSpan w:val="3"/>
            <w:tcBorders>
              <w:top w:val="nil"/>
              <w:left w:val="nil"/>
              <w:bottom w:val="single" w:color="D8D7D7" w:sz="4" w:space="0"/>
              <w:right w:val="nil"/>
            </w:tcBorders>
            <w:shd w:val="clear" w:color="auto" w:fill="FFFFFF"/>
            <w:tcMar>
              <w:top w:w="100" w:type="dxa"/>
              <w:left w:w="100" w:type="dxa"/>
              <w:bottom w:w="100" w:type="dxa"/>
              <w:right w:w="100" w:type="dxa"/>
            </w:tcMar>
            <w:vAlign w:val="center"/>
          </w:tcPr>
          <w:p w14:paraId="5338EA80">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lang w:val="en-US" w:eastAsia="zh-CN" w:bidi="ar"/>
              </w:rPr>
              <w:t>河北省药品监督管理局关于贯彻执行《医疗器械生产监督管理办法》《医疗器械经营监督管理办法》有关事项的通告</w:t>
            </w:r>
          </w:p>
        </w:tc>
      </w:tr>
      <w:tr w14:paraId="64C3C4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0" w:type="auto"/>
            <w:tcBorders>
              <w:top w:val="nil"/>
              <w:left w:val="nil"/>
              <w:bottom w:val="single" w:color="D8D7D7" w:sz="4" w:space="0"/>
              <w:right w:val="nil"/>
            </w:tcBorders>
            <w:shd w:val="clear" w:color="auto" w:fill="F3F3F3"/>
            <w:tcMar>
              <w:top w:w="100" w:type="dxa"/>
              <w:left w:w="100" w:type="dxa"/>
              <w:bottom w:w="100" w:type="dxa"/>
              <w:right w:w="100" w:type="dxa"/>
            </w:tcMar>
            <w:vAlign w:val="center"/>
          </w:tcPr>
          <w:p w14:paraId="0C2018A9">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lang w:val="en-US" w:eastAsia="zh-CN" w:bidi="ar"/>
              </w:rPr>
              <w:t>发文部门</w:t>
            </w:r>
          </w:p>
        </w:tc>
        <w:tc>
          <w:tcPr>
            <w:tcW w:w="0" w:type="auto"/>
            <w:gridSpan w:val="3"/>
            <w:tcBorders>
              <w:top w:val="nil"/>
              <w:left w:val="nil"/>
              <w:bottom w:val="single" w:color="D8D7D7" w:sz="4" w:space="0"/>
              <w:right w:val="nil"/>
            </w:tcBorders>
            <w:shd w:val="clear" w:color="auto" w:fill="FFFFFF"/>
            <w:tcMar>
              <w:top w:w="100" w:type="dxa"/>
              <w:left w:w="100" w:type="dxa"/>
              <w:bottom w:w="100" w:type="dxa"/>
              <w:right w:w="100" w:type="dxa"/>
            </w:tcMar>
            <w:vAlign w:val="center"/>
          </w:tcPr>
          <w:p w14:paraId="4348D7BC">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lang w:val="en-US" w:eastAsia="zh-CN" w:bidi="ar"/>
              </w:rPr>
              <w:t>医疗器械监管处</w:t>
            </w:r>
          </w:p>
        </w:tc>
      </w:tr>
      <w:tr w14:paraId="1869B8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0" w:type="auto"/>
            <w:tcBorders>
              <w:top w:val="nil"/>
              <w:left w:val="nil"/>
              <w:bottom w:val="single" w:color="D8D7D7" w:sz="4" w:space="0"/>
              <w:right w:val="nil"/>
            </w:tcBorders>
            <w:shd w:val="clear" w:color="auto" w:fill="F3F3F3"/>
            <w:tcMar>
              <w:top w:w="100" w:type="dxa"/>
              <w:left w:w="100" w:type="dxa"/>
              <w:bottom w:w="100" w:type="dxa"/>
              <w:right w:w="100" w:type="dxa"/>
            </w:tcMar>
            <w:vAlign w:val="center"/>
          </w:tcPr>
          <w:p w14:paraId="26F1D769">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lang w:val="en-US" w:eastAsia="zh-CN" w:bidi="ar"/>
              </w:rPr>
              <w:t>发文字号</w:t>
            </w:r>
          </w:p>
        </w:tc>
        <w:tc>
          <w:tcPr>
            <w:tcW w:w="0" w:type="auto"/>
            <w:tcBorders>
              <w:top w:val="nil"/>
              <w:left w:val="nil"/>
              <w:bottom w:val="single" w:color="D8D7D7" w:sz="4" w:space="0"/>
              <w:right w:val="nil"/>
            </w:tcBorders>
            <w:shd w:val="clear" w:color="auto" w:fill="FFFFFF"/>
            <w:tcMar>
              <w:top w:w="100" w:type="dxa"/>
              <w:left w:w="100" w:type="dxa"/>
              <w:bottom w:w="100" w:type="dxa"/>
              <w:right w:w="100" w:type="dxa"/>
            </w:tcMar>
            <w:vAlign w:val="center"/>
          </w:tcPr>
          <w:p w14:paraId="3BF8DF41">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lang w:val="en-US" w:eastAsia="zh-CN" w:bidi="ar"/>
              </w:rPr>
              <w:t>〔2022〕4号</w:t>
            </w:r>
          </w:p>
        </w:tc>
        <w:tc>
          <w:tcPr>
            <w:tcW w:w="0" w:type="auto"/>
            <w:tcBorders>
              <w:top w:val="nil"/>
              <w:left w:val="nil"/>
              <w:bottom w:val="single" w:color="D8D7D7" w:sz="4" w:space="0"/>
              <w:right w:val="nil"/>
            </w:tcBorders>
            <w:shd w:val="clear" w:color="auto" w:fill="F3F3F3"/>
            <w:tcMar>
              <w:top w:w="100" w:type="dxa"/>
              <w:left w:w="100" w:type="dxa"/>
              <w:bottom w:w="100" w:type="dxa"/>
              <w:right w:w="100" w:type="dxa"/>
            </w:tcMar>
            <w:vAlign w:val="center"/>
          </w:tcPr>
          <w:p w14:paraId="5F5F681E">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lang w:val="en-US" w:eastAsia="zh-CN" w:bidi="ar"/>
              </w:rPr>
              <w:t>发布日期</w:t>
            </w:r>
          </w:p>
        </w:tc>
        <w:tc>
          <w:tcPr>
            <w:tcW w:w="0" w:type="auto"/>
            <w:tcBorders>
              <w:top w:val="nil"/>
              <w:left w:val="nil"/>
              <w:bottom w:val="single" w:color="D8D7D7" w:sz="4" w:space="0"/>
              <w:right w:val="nil"/>
            </w:tcBorders>
            <w:shd w:val="clear" w:color="auto" w:fill="FFFFFF"/>
            <w:tcMar>
              <w:top w:w="100" w:type="dxa"/>
              <w:left w:w="100" w:type="dxa"/>
              <w:bottom w:w="100" w:type="dxa"/>
              <w:right w:w="100" w:type="dxa"/>
            </w:tcMar>
            <w:vAlign w:val="center"/>
          </w:tcPr>
          <w:p w14:paraId="37C30A9C">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lang w:val="en-US" w:eastAsia="zh-CN" w:bidi="ar"/>
              </w:rPr>
              <w:t>2022-08-03</w:t>
            </w:r>
          </w:p>
        </w:tc>
      </w:tr>
    </w:tbl>
    <w:p w14:paraId="4AB5709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center"/>
        <w:rPr>
          <w:rFonts w:ascii="微软雅黑" w:hAnsi="微软雅黑" w:eastAsia="微软雅黑" w:cs="微软雅黑"/>
          <w:b w:val="0"/>
          <w:bCs w:val="0"/>
          <w:i w:val="0"/>
          <w:iCs w:val="0"/>
          <w:caps w:val="0"/>
          <w:color w:val="333333"/>
          <w:spacing w:val="0"/>
          <w:sz w:val="21"/>
          <w:szCs w:val="21"/>
        </w:rPr>
      </w:pPr>
      <w:r>
        <w:rPr>
          <w:rFonts w:hint="eastAsia" w:ascii="微软雅黑" w:hAnsi="微软雅黑" w:eastAsia="微软雅黑" w:cs="微软雅黑"/>
          <w:b w:val="0"/>
          <w:bCs w:val="0"/>
          <w:i w:val="0"/>
          <w:iCs w:val="0"/>
          <w:caps w:val="0"/>
          <w:color w:val="333333"/>
          <w:spacing w:val="0"/>
          <w:sz w:val="21"/>
          <w:szCs w:val="21"/>
        </w:rPr>
        <w:t>河北省药品监督管理局关</w:t>
      </w:r>
      <w:bookmarkStart w:id="0" w:name="_GoBack"/>
      <w:bookmarkEnd w:id="0"/>
      <w:r>
        <w:rPr>
          <w:rFonts w:hint="eastAsia" w:ascii="微软雅黑" w:hAnsi="微软雅黑" w:eastAsia="微软雅黑" w:cs="微软雅黑"/>
          <w:b w:val="0"/>
          <w:bCs w:val="0"/>
          <w:i w:val="0"/>
          <w:iCs w:val="0"/>
          <w:caps w:val="0"/>
          <w:color w:val="333333"/>
          <w:spacing w:val="0"/>
          <w:sz w:val="21"/>
          <w:szCs w:val="21"/>
        </w:rPr>
        <w:t>于贯彻执行《医疗器械生产监督管理办法》《医疗器械经营监督管理办法》有关事项的通告</w:t>
      </w:r>
    </w:p>
    <w:p w14:paraId="3E1E7347">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20" w:lineRule="atLeast"/>
        <w:ind w:left="0" w:right="0" w:firstLine="420"/>
        <w:rPr>
          <w:color w:val="000000"/>
          <w:sz w:val="21"/>
          <w:szCs w:val="21"/>
        </w:rPr>
      </w:pPr>
      <w:r>
        <w:rPr>
          <w:rFonts w:ascii="宋体" w:hAnsi="宋体" w:eastAsia="宋体" w:cs="宋体"/>
          <w:i w:val="0"/>
          <w:iCs w:val="0"/>
          <w:caps w:val="0"/>
          <w:color w:val="000000"/>
          <w:spacing w:val="0"/>
          <w:sz w:val="21"/>
          <w:szCs w:val="21"/>
        </w:rPr>
        <w:t>《医疗器械生产监督管理办法》（国家市场监督管理总局令第53号，以下简称《生产办法》）《医疗器械经营监督管理办法》（国家市场监督管理总局令第54号,以下简称《经营办法》）已经颁布实施，现结合我省实际，就贯彻执行《生产办法》《经营办法》有关事项通告如下。</w:t>
      </w:r>
    </w:p>
    <w:p w14:paraId="7522C738">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20" w:lineRule="atLeast"/>
        <w:ind w:left="0" w:right="0" w:firstLine="420"/>
        <w:rPr>
          <w:color w:val="000000"/>
          <w:sz w:val="21"/>
          <w:szCs w:val="21"/>
        </w:rPr>
      </w:pPr>
      <w:r>
        <w:rPr>
          <w:rFonts w:ascii="宋体" w:hAnsi="宋体" w:eastAsia="宋体" w:cs="宋体"/>
          <w:i w:val="0"/>
          <w:iCs w:val="0"/>
          <w:caps w:val="0"/>
          <w:color w:val="000000"/>
          <w:spacing w:val="0"/>
          <w:sz w:val="21"/>
          <w:szCs w:val="21"/>
        </w:rPr>
        <w:t>一、加强宣传培训实施工作</w:t>
      </w:r>
    </w:p>
    <w:p w14:paraId="074410CF">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20" w:lineRule="atLeast"/>
        <w:ind w:left="0" w:right="0" w:firstLine="420"/>
        <w:rPr>
          <w:color w:val="000000"/>
          <w:sz w:val="21"/>
          <w:szCs w:val="21"/>
        </w:rPr>
      </w:pPr>
      <w:r>
        <w:rPr>
          <w:rFonts w:ascii="宋体" w:hAnsi="宋体" w:eastAsia="宋体" w:cs="宋体"/>
          <w:i w:val="0"/>
          <w:iCs w:val="0"/>
          <w:caps w:val="0"/>
          <w:color w:val="000000"/>
          <w:spacing w:val="0"/>
          <w:sz w:val="21"/>
          <w:szCs w:val="21"/>
        </w:rPr>
        <w:t>各级药品监管部门要组织开展《生产办法》《经营办法》学习培训，进一步加深对两个办法的认识和理解，准确把握规章要求，不折不扣抓好贯彻执行，切实落实医疗器械安全监管责任。</w:t>
      </w:r>
    </w:p>
    <w:p w14:paraId="7F62187D">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20" w:lineRule="atLeast"/>
        <w:ind w:left="0" w:right="0" w:firstLine="420"/>
        <w:rPr>
          <w:color w:val="000000"/>
          <w:sz w:val="21"/>
          <w:szCs w:val="21"/>
        </w:rPr>
      </w:pPr>
      <w:r>
        <w:rPr>
          <w:rFonts w:ascii="宋体" w:hAnsi="宋体" w:eastAsia="宋体" w:cs="宋体"/>
          <w:i w:val="0"/>
          <w:iCs w:val="0"/>
          <w:caps w:val="0"/>
          <w:color w:val="000000"/>
          <w:spacing w:val="0"/>
          <w:sz w:val="21"/>
          <w:szCs w:val="21"/>
        </w:rPr>
        <w:t>要督促医疗器械生产、经营企业采取多种形式加强对医疗器械法规规章的学习培训，监督企业认真执行法规规章要求，切实履行医疗器械质量安全主体责任，不断提高依法生产经营管理能力，确保医疗器械生产经营环节质量安全。</w:t>
      </w:r>
    </w:p>
    <w:p w14:paraId="13BA9D95">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20" w:lineRule="atLeast"/>
        <w:ind w:left="0" w:right="0" w:firstLine="420"/>
        <w:rPr>
          <w:color w:val="000000"/>
          <w:sz w:val="21"/>
          <w:szCs w:val="21"/>
        </w:rPr>
      </w:pPr>
      <w:r>
        <w:rPr>
          <w:rFonts w:ascii="宋体" w:hAnsi="宋体" w:eastAsia="宋体" w:cs="宋体"/>
          <w:i w:val="0"/>
          <w:iCs w:val="0"/>
          <w:caps w:val="0"/>
          <w:color w:val="000000"/>
          <w:spacing w:val="0"/>
          <w:sz w:val="21"/>
          <w:szCs w:val="21"/>
        </w:rPr>
        <w:t>二、关于医疗器械生产相关事项办理</w:t>
      </w:r>
    </w:p>
    <w:p w14:paraId="7CA1E002">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20" w:lineRule="atLeast"/>
        <w:ind w:left="0" w:right="0" w:firstLine="420"/>
        <w:rPr>
          <w:color w:val="000000"/>
          <w:sz w:val="21"/>
          <w:szCs w:val="21"/>
        </w:rPr>
      </w:pPr>
      <w:r>
        <w:rPr>
          <w:rFonts w:ascii="宋体" w:hAnsi="宋体" w:eastAsia="宋体" w:cs="宋体"/>
          <w:i w:val="0"/>
          <w:iCs w:val="0"/>
          <w:caps w:val="0"/>
          <w:color w:val="000000"/>
          <w:spacing w:val="0"/>
          <w:sz w:val="21"/>
          <w:szCs w:val="21"/>
        </w:rPr>
        <w:t>（一）医疗器械生产许可事项</w:t>
      </w:r>
    </w:p>
    <w:p w14:paraId="57C9B86B">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20" w:lineRule="atLeast"/>
        <w:ind w:left="0" w:right="0" w:firstLine="420"/>
        <w:rPr>
          <w:color w:val="000000"/>
          <w:sz w:val="21"/>
          <w:szCs w:val="21"/>
        </w:rPr>
      </w:pPr>
      <w:r>
        <w:rPr>
          <w:rFonts w:ascii="宋体" w:hAnsi="宋体" w:eastAsia="宋体" w:cs="宋体"/>
          <w:i w:val="0"/>
          <w:iCs w:val="0"/>
          <w:caps w:val="0"/>
          <w:color w:val="000000"/>
          <w:spacing w:val="0"/>
          <w:sz w:val="21"/>
          <w:szCs w:val="21"/>
        </w:rPr>
        <w:t>依据《生产办法》第二章“生产许可与备案管理”相关规定，本省第二类、第三类医疗器械生产许可事项，细分为《医疗器械生产许可证》核发、延续、变更(含许可事项、登记事项变更）、补发、注销五个情形。</w:t>
      </w:r>
    </w:p>
    <w:p w14:paraId="1DF46C96">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20" w:lineRule="atLeast"/>
        <w:ind w:left="0" w:right="0" w:firstLine="420"/>
        <w:rPr>
          <w:color w:val="000000"/>
          <w:sz w:val="21"/>
          <w:szCs w:val="21"/>
        </w:rPr>
      </w:pPr>
      <w:r>
        <w:rPr>
          <w:rFonts w:ascii="宋体" w:hAnsi="宋体" w:eastAsia="宋体" w:cs="宋体"/>
          <w:i w:val="0"/>
          <w:iCs w:val="0"/>
          <w:caps w:val="0"/>
          <w:color w:val="000000"/>
          <w:spacing w:val="0"/>
          <w:sz w:val="21"/>
          <w:szCs w:val="21"/>
        </w:rPr>
        <w:t>本省企业接受其他省、自治区、直辖市医疗器械注册人委托生产第二类、第三类医疗器械，需要办理生产许可核发或变更的，应按照《生产办法》规定申请办理生产许可核发或变更手续。</w:t>
      </w:r>
    </w:p>
    <w:p w14:paraId="32C48F27">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20" w:lineRule="atLeast"/>
        <w:ind w:left="0" w:right="0" w:firstLine="420"/>
        <w:rPr>
          <w:color w:val="000000"/>
          <w:sz w:val="21"/>
          <w:szCs w:val="21"/>
        </w:rPr>
      </w:pPr>
      <w:r>
        <w:rPr>
          <w:rFonts w:ascii="宋体" w:hAnsi="宋体" w:eastAsia="宋体" w:cs="宋体"/>
          <w:i w:val="0"/>
          <w:iCs w:val="0"/>
          <w:caps w:val="0"/>
          <w:color w:val="000000"/>
          <w:spacing w:val="0"/>
          <w:sz w:val="21"/>
          <w:szCs w:val="21"/>
        </w:rPr>
        <w:t>（二）医疗器械报告事项</w:t>
      </w:r>
    </w:p>
    <w:p w14:paraId="35D9AABA">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20" w:lineRule="atLeast"/>
        <w:ind w:left="0" w:right="0" w:firstLine="420"/>
        <w:rPr>
          <w:color w:val="000000"/>
          <w:sz w:val="21"/>
          <w:szCs w:val="21"/>
        </w:rPr>
      </w:pPr>
      <w:r>
        <w:rPr>
          <w:rFonts w:ascii="宋体" w:hAnsi="宋体" w:eastAsia="宋体" w:cs="宋体"/>
          <w:i w:val="0"/>
          <w:iCs w:val="0"/>
          <w:caps w:val="0"/>
          <w:color w:val="000000"/>
          <w:spacing w:val="0"/>
          <w:sz w:val="21"/>
          <w:szCs w:val="21"/>
        </w:rPr>
        <w:t>符合《生产办法》第十五条、四十二条、四十三条、四十四条、四十五条规定的报告情形的，企业应按要求向省局提交报告。</w:t>
      </w:r>
    </w:p>
    <w:p w14:paraId="53705A15">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20" w:lineRule="atLeast"/>
        <w:ind w:left="0" w:right="0" w:firstLine="420"/>
        <w:rPr>
          <w:color w:val="000000"/>
          <w:sz w:val="21"/>
          <w:szCs w:val="21"/>
        </w:rPr>
      </w:pPr>
      <w:r>
        <w:rPr>
          <w:rFonts w:ascii="宋体" w:hAnsi="宋体" w:eastAsia="宋体" w:cs="宋体"/>
          <w:i w:val="0"/>
          <w:iCs w:val="0"/>
          <w:caps w:val="0"/>
          <w:color w:val="000000"/>
          <w:spacing w:val="0"/>
          <w:sz w:val="21"/>
          <w:szCs w:val="21"/>
        </w:rPr>
        <w:t>1、产品报告。医疗器械生产企业应当定期通过“河北省医疗器械监管系统”报告所生产的产品品种整体情况。</w:t>
      </w:r>
    </w:p>
    <w:p w14:paraId="385199F3">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20" w:lineRule="atLeast"/>
        <w:ind w:left="0" w:right="0" w:firstLine="420"/>
        <w:rPr>
          <w:color w:val="000000"/>
          <w:sz w:val="21"/>
          <w:szCs w:val="21"/>
        </w:rPr>
      </w:pPr>
      <w:r>
        <w:rPr>
          <w:rFonts w:ascii="宋体" w:hAnsi="宋体" w:eastAsia="宋体" w:cs="宋体"/>
          <w:i w:val="0"/>
          <w:iCs w:val="0"/>
          <w:caps w:val="0"/>
          <w:color w:val="000000"/>
          <w:spacing w:val="0"/>
          <w:sz w:val="21"/>
          <w:szCs w:val="21"/>
        </w:rPr>
        <w:t>涉及生产产品品种（包括自产和委托、受托生产品种，下同）发生变化的，相关企业应在变化后10日内登录“河北省医疗器械监管系统”，并在“报告事项”模块中进行填报（详见附件1），其中涉及委托生产的，还应当提供委托方、受托生产产品、受托期限等信息。</w:t>
      </w:r>
    </w:p>
    <w:p w14:paraId="25045D32">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20" w:lineRule="atLeast"/>
        <w:ind w:left="0" w:right="0" w:firstLine="420"/>
        <w:rPr>
          <w:color w:val="000000"/>
          <w:sz w:val="21"/>
          <w:szCs w:val="21"/>
        </w:rPr>
      </w:pPr>
      <w:r>
        <w:rPr>
          <w:rFonts w:ascii="宋体" w:hAnsi="宋体" w:eastAsia="宋体" w:cs="宋体"/>
          <w:i w:val="0"/>
          <w:iCs w:val="0"/>
          <w:caps w:val="0"/>
          <w:color w:val="000000"/>
          <w:spacing w:val="0"/>
          <w:sz w:val="21"/>
          <w:szCs w:val="21"/>
        </w:rPr>
        <w:t>医疗器械生产企业增加生产产品涉及生产条件变化，可能影响产品安全、有效的，应当在增加生产产品30个工作日前向省局医疗器械监管处报告，由省局医疗器械监管处及时组织开展现场核查。属于许可事项变化的，应当按照规定办理相关许可变更。</w:t>
      </w:r>
    </w:p>
    <w:p w14:paraId="1F0CE67B">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20" w:lineRule="atLeast"/>
        <w:ind w:left="0" w:right="0" w:firstLine="420"/>
        <w:rPr>
          <w:color w:val="000000"/>
          <w:sz w:val="21"/>
          <w:szCs w:val="21"/>
        </w:rPr>
      </w:pPr>
      <w:r>
        <w:rPr>
          <w:rFonts w:ascii="宋体" w:hAnsi="宋体" w:eastAsia="宋体" w:cs="宋体"/>
          <w:i w:val="0"/>
          <w:iCs w:val="0"/>
          <w:caps w:val="0"/>
          <w:color w:val="000000"/>
          <w:spacing w:val="0"/>
          <w:sz w:val="21"/>
          <w:szCs w:val="21"/>
        </w:rPr>
        <w:t>2、生产条件变化报告。医疗器械注册人、备案人、受托生产企业的生产条件发生变化（如：车间或生产线改造，导致生产条件发生变化；生产工艺发生变化等），不再符合医疗器械质量管理体系要求的，应当立即采取整改措施；可能影响医疗器械安全、有效的，应当立即停止生产活动，并通过“河北省医疗器械监管系统”，在“报告事项”模块中进行填报（详见附件2）。属于许可事项变化的，应当按照《生产办法》办理相关许可变更手续。受托生产企业应当及时将变化情况告知医疗器械注册人、备案人。</w:t>
      </w:r>
    </w:p>
    <w:p w14:paraId="5D8150BE">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20" w:lineRule="atLeast"/>
        <w:ind w:left="0" w:right="0" w:firstLine="420"/>
        <w:rPr>
          <w:color w:val="000000"/>
          <w:sz w:val="21"/>
          <w:szCs w:val="21"/>
        </w:rPr>
      </w:pPr>
      <w:r>
        <w:rPr>
          <w:rFonts w:ascii="宋体" w:hAnsi="宋体" w:eastAsia="宋体" w:cs="宋体"/>
          <w:i w:val="0"/>
          <w:iCs w:val="0"/>
          <w:caps w:val="0"/>
          <w:color w:val="000000"/>
          <w:spacing w:val="0"/>
          <w:sz w:val="21"/>
          <w:szCs w:val="21"/>
        </w:rPr>
        <w:t>（注：车间重大改造，是指生产厂房、洁净车间或受控车间在已核准的生产地址上重建、改建、扩建、区域布局发生结构性或功能性重大调整等情形；生产线重大改造，是指如生产线增加或减少、对医疗器械质量安全、有效可能造成影响的关键工序、特殊过程及其他工序、生产工艺、生产设备发生重大变化等情形。）</w:t>
      </w:r>
    </w:p>
    <w:p w14:paraId="2E9ED84E">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20" w:lineRule="atLeast"/>
        <w:ind w:left="0" w:right="0" w:firstLine="420"/>
        <w:rPr>
          <w:color w:val="000000"/>
          <w:sz w:val="21"/>
          <w:szCs w:val="21"/>
        </w:rPr>
      </w:pPr>
      <w:r>
        <w:rPr>
          <w:rFonts w:ascii="宋体" w:hAnsi="宋体" w:eastAsia="宋体" w:cs="宋体"/>
          <w:i w:val="0"/>
          <w:iCs w:val="0"/>
          <w:caps w:val="0"/>
          <w:color w:val="000000"/>
          <w:spacing w:val="0"/>
          <w:sz w:val="21"/>
          <w:szCs w:val="21"/>
        </w:rPr>
        <w:t>3、间歇式生产或停产报告。医疗器械生产企业实行间歇式生产或停产半停产状态的企业，应通过“河北省医疗器械监管系统”，在“其他信息”模块中进行报告。同一产品连续停产一年以上且无同类产品在产的，重新生产时，应当进行必要的验证和确认，并书面报告省局医疗器械监管处。可能影响质量安全的，省局医疗器械监管处可以根据需要组织核查。　</w:t>
      </w:r>
    </w:p>
    <w:p w14:paraId="2890503B">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20" w:lineRule="atLeast"/>
        <w:ind w:left="0" w:right="0" w:firstLine="420"/>
        <w:rPr>
          <w:color w:val="000000"/>
          <w:sz w:val="21"/>
          <w:szCs w:val="21"/>
        </w:rPr>
      </w:pPr>
      <w:r>
        <w:rPr>
          <w:rFonts w:ascii="宋体" w:hAnsi="宋体" w:eastAsia="宋体" w:cs="宋体"/>
          <w:i w:val="0"/>
          <w:iCs w:val="0"/>
          <w:caps w:val="0"/>
          <w:color w:val="000000"/>
          <w:spacing w:val="0"/>
          <w:sz w:val="21"/>
          <w:szCs w:val="21"/>
        </w:rPr>
        <w:t>4、自查报告。医疗器械注册人、备案人、受托生产企业、进口医疗器械注册人、备案人应当按照《医疗器械质量管理体系年度自查报告编写指南》（2022年13号）要求，每年对质量管理体系的运行情况进行自查，并于次年的1月1日至3月31日期间通过“河北省医疗器械监管系统”填报上一年度的自查报告。</w:t>
      </w:r>
    </w:p>
    <w:p w14:paraId="0FFE7E3B">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20" w:lineRule="atLeast"/>
        <w:ind w:left="0" w:right="0" w:firstLine="420"/>
        <w:rPr>
          <w:color w:val="000000"/>
          <w:sz w:val="21"/>
          <w:szCs w:val="21"/>
        </w:rPr>
      </w:pPr>
      <w:r>
        <w:rPr>
          <w:rFonts w:ascii="宋体" w:hAnsi="宋体" w:eastAsia="宋体" w:cs="宋体"/>
          <w:i w:val="0"/>
          <w:iCs w:val="0"/>
          <w:caps w:val="0"/>
          <w:color w:val="000000"/>
          <w:spacing w:val="0"/>
          <w:sz w:val="21"/>
          <w:szCs w:val="21"/>
        </w:rPr>
        <w:t>（三）一类生产备案事项</w:t>
      </w:r>
    </w:p>
    <w:p w14:paraId="4213AAE6">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20" w:lineRule="atLeast"/>
        <w:ind w:left="0" w:right="0" w:firstLine="420"/>
        <w:rPr>
          <w:color w:val="000000"/>
          <w:sz w:val="21"/>
          <w:szCs w:val="21"/>
        </w:rPr>
      </w:pPr>
      <w:r>
        <w:rPr>
          <w:rFonts w:ascii="宋体" w:hAnsi="宋体" w:eastAsia="宋体" w:cs="宋体"/>
          <w:i w:val="0"/>
          <w:iCs w:val="0"/>
          <w:caps w:val="0"/>
          <w:color w:val="000000"/>
          <w:spacing w:val="0"/>
          <w:sz w:val="21"/>
          <w:szCs w:val="21"/>
        </w:rPr>
        <w:t>从事第一类医疗器械生产的企业应在开展生产前，向生产地址所在地的设区市（含定州市、辛集市、雄安新区）市场监督管理部门（或行政审批局）办理备案，医疗器械备案人自行生产第一类医疗器械的，可以在办理产品备案时一并办理生产备案。</w:t>
      </w:r>
    </w:p>
    <w:p w14:paraId="690F2DDA">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20" w:lineRule="atLeast"/>
        <w:ind w:left="0" w:right="0" w:firstLine="420"/>
        <w:rPr>
          <w:color w:val="000000"/>
          <w:sz w:val="21"/>
          <w:szCs w:val="21"/>
        </w:rPr>
      </w:pPr>
      <w:r>
        <w:rPr>
          <w:rFonts w:ascii="宋体" w:hAnsi="宋体" w:eastAsia="宋体" w:cs="宋体"/>
          <w:i w:val="0"/>
          <w:iCs w:val="0"/>
          <w:caps w:val="0"/>
          <w:color w:val="000000"/>
          <w:spacing w:val="0"/>
          <w:sz w:val="21"/>
          <w:szCs w:val="21"/>
        </w:rPr>
        <w:t>（四）其他相关事项</w:t>
      </w:r>
    </w:p>
    <w:p w14:paraId="7DE47BC6">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20" w:lineRule="atLeast"/>
        <w:ind w:left="0" w:right="0" w:firstLine="420"/>
        <w:rPr>
          <w:color w:val="000000"/>
          <w:sz w:val="21"/>
          <w:szCs w:val="21"/>
        </w:rPr>
      </w:pPr>
      <w:r>
        <w:rPr>
          <w:rFonts w:ascii="宋体" w:hAnsi="宋体" w:eastAsia="宋体" w:cs="宋体"/>
          <w:i w:val="0"/>
          <w:iCs w:val="0"/>
          <w:caps w:val="0"/>
          <w:color w:val="000000"/>
          <w:spacing w:val="0"/>
          <w:sz w:val="21"/>
          <w:szCs w:val="21"/>
        </w:rPr>
        <w:t>（一）依据《生产办法》规定，我省不再办理“医疗器械委托生产备案”“医疗器械出口信息备案”相关事项。新增生产产品品种，且不涉及生产范围、生产地址变化的，不再办理医疗器械生产许可变更。对已办理《医疗器械委托生产备案凭证》的生产企业，在委托期限内的备案凭证继续有效；委托期满后继续生产的，按照《生产办法》相关规定办理。</w:t>
      </w:r>
    </w:p>
    <w:p w14:paraId="2734BB68">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20" w:lineRule="atLeast"/>
        <w:ind w:left="0" w:right="0" w:firstLine="420"/>
        <w:rPr>
          <w:color w:val="000000"/>
          <w:sz w:val="21"/>
          <w:szCs w:val="21"/>
        </w:rPr>
      </w:pPr>
      <w:r>
        <w:rPr>
          <w:rFonts w:ascii="宋体" w:hAnsi="宋体" w:eastAsia="宋体" w:cs="宋体"/>
          <w:i w:val="0"/>
          <w:iCs w:val="0"/>
          <w:caps w:val="0"/>
          <w:color w:val="000000"/>
          <w:spacing w:val="0"/>
          <w:sz w:val="21"/>
          <w:szCs w:val="21"/>
        </w:rPr>
        <w:t>（二）《医疗器械生产许可证》变更、延续后，产品的原包装信息与现有产品信息不符的，其包装材料最长可使用至变更、延续后三个月。</w:t>
      </w:r>
    </w:p>
    <w:p w14:paraId="4280E498">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20" w:lineRule="atLeast"/>
        <w:ind w:left="0" w:right="0" w:firstLine="420"/>
        <w:rPr>
          <w:color w:val="000000"/>
          <w:sz w:val="21"/>
          <w:szCs w:val="21"/>
        </w:rPr>
      </w:pPr>
      <w:r>
        <w:rPr>
          <w:rFonts w:ascii="宋体" w:hAnsi="宋体" w:eastAsia="宋体" w:cs="宋体"/>
          <w:i w:val="0"/>
          <w:iCs w:val="0"/>
          <w:caps w:val="0"/>
          <w:color w:val="000000"/>
          <w:spacing w:val="0"/>
          <w:sz w:val="21"/>
          <w:szCs w:val="21"/>
        </w:rPr>
        <w:t>三、关于医疗器械经营相关事项办理</w:t>
      </w:r>
    </w:p>
    <w:p w14:paraId="7F2ECE3A">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20" w:lineRule="atLeast"/>
        <w:ind w:left="0" w:right="0" w:firstLine="420"/>
        <w:rPr>
          <w:color w:val="000000"/>
          <w:sz w:val="21"/>
          <w:szCs w:val="21"/>
        </w:rPr>
      </w:pPr>
      <w:r>
        <w:rPr>
          <w:rFonts w:ascii="宋体" w:hAnsi="宋体" w:eastAsia="宋体" w:cs="宋体"/>
          <w:i w:val="0"/>
          <w:iCs w:val="0"/>
          <w:caps w:val="0"/>
          <w:color w:val="000000"/>
          <w:spacing w:val="0"/>
          <w:sz w:val="21"/>
          <w:szCs w:val="21"/>
        </w:rPr>
        <w:t>（一）经营范围</w:t>
      </w:r>
    </w:p>
    <w:p w14:paraId="59350D85">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20" w:lineRule="atLeast"/>
        <w:ind w:left="0" w:right="0" w:firstLine="420"/>
        <w:rPr>
          <w:color w:val="000000"/>
          <w:sz w:val="21"/>
          <w:szCs w:val="21"/>
        </w:rPr>
      </w:pPr>
      <w:r>
        <w:rPr>
          <w:rFonts w:ascii="宋体" w:hAnsi="宋体" w:eastAsia="宋体" w:cs="宋体"/>
          <w:i w:val="0"/>
          <w:iCs w:val="0"/>
          <w:caps w:val="0"/>
          <w:color w:val="000000"/>
          <w:spacing w:val="0"/>
          <w:sz w:val="21"/>
          <w:szCs w:val="21"/>
        </w:rPr>
        <w:t>《医疗器械经营许可证》经营范围分成原《分类目录》分类编码区和新《分类目录》分类编码区，按照分类编码及名称确定，填写到子目录类别。经营范围包含是否经营《国家经营重点监管目录》产品，与企业分类分级相衔接。新旧分类编码与产品《医疗器械注册证》编号第6、7位数字保持一致。</w:t>
      </w:r>
    </w:p>
    <w:p w14:paraId="02AA5CC2">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20" w:lineRule="atLeast"/>
        <w:ind w:left="0" w:right="0" w:firstLine="420"/>
        <w:rPr>
          <w:color w:val="000000"/>
          <w:sz w:val="21"/>
          <w:szCs w:val="21"/>
        </w:rPr>
      </w:pPr>
      <w:r>
        <w:rPr>
          <w:rFonts w:ascii="宋体" w:hAnsi="宋体" w:eastAsia="宋体" w:cs="宋体"/>
          <w:i w:val="0"/>
          <w:iCs w:val="0"/>
          <w:caps w:val="0"/>
          <w:color w:val="000000"/>
          <w:spacing w:val="0"/>
          <w:sz w:val="21"/>
          <w:szCs w:val="21"/>
        </w:rPr>
        <w:t>医疗器械第三方物流经营范围由原“为其他医疗器械生产经营企业提供贮存、配送服务（含或不含冷藏、冷冻）”变更为“为医疗器械注册人、备案人和经营企业提供运输、贮存服务（含或不含冷藏、冷冻）”，经营方式为第三方物流。</w:t>
      </w:r>
    </w:p>
    <w:p w14:paraId="3769D724">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20" w:lineRule="atLeast"/>
        <w:ind w:left="0" w:right="0" w:firstLine="420"/>
        <w:rPr>
          <w:color w:val="000000"/>
          <w:sz w:val="21"/>
          <w:szCs w:val="21"/>
        </w:rPr>
      </w:pPr>
      <w:r>
        <w:rPr>
          <w:rFonts w:ascii="宋体" w:hAnsi="宋体" w:eastAsia="宋体" w:cs="宋体"/>
          <w:i w:val="0"/>
          <w:iCs w:val="0"/>
          <w:caps w:val="0"/>
          <w:color w:val="000000"/>
          <w:spacing w:val="0"/>
          <w:sz w:val="21"/>
          <w:szCs w:val="21"/>
        </w:rPr>
        <w:t>申请人经营方式为批发（含批零兼营）的，其经营范围表述为“第二类医疗器械（含需低温冷藏运输贮存诊断试剂/含不需低温冷藏运输贮存诊断试剂/不含体外诊断试剂）”以及“第二类医疗器械（含医用防护口罩(或)医用防护服/不含医用防护口罩(或)医用防护服）及其他风险较高的第二类医疗器械”等。</w:t>
      </w:r>
    </w:p>
    <w:p w14:paraId="732913A0">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20" w:lineRule="atLeast"/>
        <w:ind w:left="0" w:right="0" w:firstLine="420"/>
        <w:rPr>
          <w:color w:val="000000"/>
          <w:sz w:val="21"/>
          <w:szCs w:val="21"/>
        </w:rPr>
      </w:pPr>
      <w:r>
        <w:rPr>
          <w:rFonts w:ascii="宋体" w:hAnsi="宋体" w:eastAsia="宋体" w:cs="宋体"/>
          <w:i w:val="0"/>
          <w:iCs w:val="0"/>
          <w:caps w:val="0"/>
          <w:color w:val="000000"/>
          <w:spacing w:val="0"/>
          <w:sz w:val="21"/>
          <w:szCs w:val="21"/>
        </w:rPr>
        <w:t>申请人经营方式为零售的，其经营范围表述为“零售第二类医疗器械”。</w:t>
      </w:r>
    </w:p>
    <w:p w14:paraId="3788606F">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20" w:lineRule="atLeast"/>
        <w:ind w:left="0" w:right="0" w:firstLine="420"/>
        <w:rPr>
          <w:color w:val="000000"/>
          <w:sz w:val="21"/>
          <w:szCs w:val="21"/>
        </w:rPr>
      </w:pPr>
      <w:r>
        <w:rPr>
          <w:rFonts w:ascii="宋体" w:hAnsi="宋体" w:eastAsia="宋体" w:cs="宋体"/>
          <w:i w:val="0"/>
          <w:iCs w:val="0"/>
          <w:caps w:val="0"/>
          <w:color w:val="000000"/>
          <w:spacing w:val="0"/>
          <w:sz w:val="21"/>
          <w:szCs w:val="21"/>
        </w:rPr>
        <w:t>（二）免于备案管理</w:t>
      </w:r>
    </w:p>
    <w:p w14:paraId="1453DD7A">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20" w:lineRule="atLeast"/>
        <w:ind w:left="0" w:right="0" w:firstLine="420"/>
        <w:rPr>
          <w:color w:val="000000"/>
          <w:sz w:val="21"/>
          <w:szCs w:val="21"/>
        </w:rPr>
      </w:pPr>
      <w:r>
        <w:rPr>
          <w:rFonts w:ascii="宋体" w:hAnsi="宋体" w:eastAsia="宋体" w:cs="宋体"/>
          <w:i w:val="0"/>
          <w:iCs w:val="0"/>
          <w:caps w:val="0"/>
          <w:color w:val="000000"/>
          <w:spacing w:val="0"/>
          <w:sz w:val="21"/>
          <w:szCs w:val="21"/>
        </w:rPr>
        <w:t>经营国家药监局《免于经营备案的第二类医疗器械产品目录的公告》（2021年第86号）规定的第二类医疗器械，无需办理《第二类医疗器械经营备案凭证》。已取得《第二类医疗器械经营备案凭证》，其经营范围表述为第二类医疗器械（仅限避孕套、避孕帽）或（限避孕套、避孕帽）的企业，可向原发证部门申请取消备案。原经营范围为“第二类医疗器械（仅限原不需许可的两批19个品种）”或“第二类医疗器械（仅零售两批19个品种）”的企业，可根据自身经营情况，向原发证部门申请变更或取消备案。</w:t>
      </w:r>
    </w:p>
    <w:p w14:paraId="19AA91B3">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20" w:lineRule="atLeast"/>
        <w:ind w:left="0" w:right="0" w:firstLine="420"/>
        <w:rPr>
          <w:color w:val="000000"/>
          <w:sz w:val="21"/>
          <w:szCs w:val="21"/>
        </w:rPr>
      </w:pPr>
      <w:r>
        <w:rPr>
          <w:rFonts w:ascii="宋体" w:hAnsi="宋体" w:eastAsia="宋体" w:cs="宋体"/>
          <w:i w:val="0"/>
          <w:iCs w:val="0"/>
          <w:caps w:val="0"/>
          <w:color w:val="000000"/>
          <w:spacing w:val="0"/>
          <w:sz w:val="21"/>
          <w:szCs w:val="21"/>
        </w:rPr>
        <w:t>（三）其他事项</w:t>
      </w:r>
    </w:p>
    <w:p w14:paraId="356AD34E">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20" w:lineRule="atLeast"/>
        <w:ind w:left="0" w:right="0" w:firstLine="420"/>
        <w:rPr>
          <w:color w:val="000000"/>
          <w:sz w:val="21"/>
          <w:szCs w:val="21"/>
        </w:rPr>
      </w:pPr>
      <w:r>
        <w:rPr>
          <w:rFonts w:ascii="宋体" w:hAnsi="宋体" w:eastAsia="宋体" w:cs="宋体"/>
          <w:i w:val="0"/>
          <w:iCs w:val="0"/>
          <w:caps w:val="0"/>
          <w:color w:val="000000"/>
          <w:spacing w:val="0"/>
          <w:sz w:val="21"/>
          <w:szCs w:val="21"/>
        </w:rPr>
        <w:t>同一申请人既申请第三类医疗器械经营许可又申请第二类医疗器械经营备案的，可合并办理，分别予以核发第三类医疗器械经营许可和第二类医疗器械经营备案。</w:t>
      </w:r>
    </w:p>
    <w:p w14:paraId="77657BFF">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20" w:lineRule="atLeast"/>
        <w:ind w:left="0" w:right="0" w:firstLine="420"/>
        <w:rPr>
          <w:color w:val="000000"/>
          <w:sz w:val="21"/>
          <w:szCs w:val="21"/>
        </w:rPr>
      </w:pPr>
      <w:r>
        <w:rPr>
          <w:rFonts w:ascii="宋体" w:hAnsi="宋体" w:eastAsia="宋体" w:cs="宋体"/>
          <w:i w:val="0"/>
          <w:iCs w:val="0"/>
          <w:caps w:val="0"/>
          <w:color w:val="000000"/>
          <w:spacing w:val="0"/>
          <w:sz w:val="21"/>
          <w:szCs w:val="21"/>
        </w:rPr>
        <w:t>医疗器械批发（含批零兼营）企业将医疗器械销售给有合理使用需求的单位，购买单位需提交承诺书，承诺购买的医疗器械不用于销售及医疗临床诊疗等内容，承诺书由经营企业存档备查。</w:t>
      </w:r>
    </w:p>
    <w:p w14:paraId="207CD692">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20" w:lineRule="atLeast"/>
        <w:ind w:left="0" w:right="0" w:firstLine="420"/>
        <w:rPr>
          <w:color w:val="000000"/>
          <w:sz w:val="21"/>
          <w:szCs w:val="21"/>
        </w:rPr>
      </w:pPr>
      <w:r>
        <w:rPr>
          <w:rFonts w:ascii="宋体" w:hAnsi="宋体" w:eastAsia="宋体" w:cs="宋体"/>
          <w:i w:val="0"/>
          <w:iCs w:val="0"/>
          <w:caps w:val="0"/>
          <w:color w:val="000000"/>
          <w:spacing w:val="0"/>
          <w:sz w:val="21"/>
          <w:szCs w:val="21"/>
        </w:rPr>
        <w:t>医疗器械经营企业应当按照《医疗器械经营质量管理规范》认真组织开展自查，每年1月1日至3月31日期间通过“河北省医疗器械监管系统”的“追溯申报模块”填报上一年度的自查报告。</w:t>
      </w:r>
    </w:p>
    <w:p w14:paraId="7F89CB37">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20" w:lineRule="atLeast"/>
        <w:ind w:left="0" w:right="0" w:firstLine="420"/>
        <w:rPr>
          <w:color w:val="000000"/>
          <w:sz w:val="21"/>
          <w:szCs w:val="21"/>
        </w:rPr>
      </w:pPr>
      <w:r>
        <w:rPr>
          <w:rFonts w:ascii="宋体" w:hAnsi="宋体" w:eastAsia="宋体" w:cs="宋体"/>
          <w:i w:val="0"/>
          <w:iCs w:val="0"/>
          <w:caps w:val="0"/>
          <w:color w:val="000000"/>
          <w:spacing w:val="0"/>
          <w:sz w:val="21"/>
          <w:szCs w:val="21"/>
        </w:rPr>
        <w:t>四、证书管理</w:t>
      </w:r>
    </w:p>
    <w:p w14:paraId="71FDB446">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20" w:lineRule="atLeast"/>
        <w:ind w:left="0" w:right="0" w:firstLine="420"/>
        <w:rPr>
          <w:color w:val="000000"/>
          <w:sz w:val="21"/>
          <w:szCs w:val="21"/>
        </w:rPr>
      </w:pPr>
      <w:r>
        <w:rPr>
          <w:rFonts w:ascii="宋体" w:hAnsi="宋体" w:eastAsia="宋体" w:cs="宋体"/>
          <w:i w:val="0"/>
          <w:iCs w:val="0"/>
          <w:caps w:val="0"/>
          <w:color w:val="000000"/>
          <w:spacing w:val="0"/>
          <w:sz w:val="21"/>
          <w:szCs w:val="21"/>
        </w:rPr>
        <w:t>依据国家药监局《关于实施〈医疗器械生产监督管理办法〉〈医疗器械经营监督管理办法〉有关事项的通告》(2022年第18号)，对我省医疗器械生产许可证、备案凭证编号规则予以调整。新版生产许可证编号格式为“冀药监械生产许XXXXXXXX号”，其中第一到八位X分别为许可年份和流水号；新版一类生产备案的备案编号格式为“冀X药监械生产备XXXXXXXX号”，新版经营许可证/备案凭证的编号格式为“冀X药监经营许（备）XXXXXXXX号”，其中第一位X代表企业经营许可（备案）所在区的简称，第二到九位X代表许可（备案）年份和流水号。</w:t>
      </w:r>
    </w:p>
    <w:p w14:paraId="6259B3ED">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20" w:lineRule="atLeast"/>
        <w:ind w:left="0" w:right="0" w:firstLine="420"/>
        <w:rPr>
          <w:color w:val="000000"/>
          <w:sz w:val="21"/>
          <w:szCs w:val="21"/>
        </w:rPr>
      </w:pPr>
      <w:r>
        <w:rPr>
          <w:rFonts w:ascii="宋体" w:hAnsi="宋体" w:eastAsia="宋体" w:cs="宋体"/>
          <w:i w:val="0"/>
          <w:iCs w:val="0"/>
          <w:caps w:val="0"/>
          <w:color w:val="000000"/>
          <w:spacing w:val="0"/>
          <w:sz w:val="21"/>
          <w:szCs w:val="21"/>
        </w:rPr>
        <w:t>2022年5月1日前核发的生产经营许可（备案）证书继续有效。需要变更、延续、补发、注销的，省局将按照有关规定办理，变更、补发的许可（备案）证件，有效期限不变，编号的编排方式按照新规则执行。对于换发新版许可（备案）证书的企业，标识为“冀食药监械生产许”“冀X食药监械生产备”的库存产品标签、说明书和包装材料可继续使用至2023年12月31日，但标签、标识和说明书内容应符合相关法规规定。</w:t>
      </w:r>
    </w:p>
    <w:p w14:paraId="337E0387">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20" w:lineRule="atLeast"/>
        <w:ind w:left="0" w:right="0" w:firstLine="420"/>
        <w:rPr>
          <w:color w:val="000000"/>
          <w:sz w:val="21"/>
          <w:szCs w:val="21"/>
        </w:rPr>
      </w:pPr>
      <w:r>
        <w:rPr>
          <w:rFonts w:ascii="宋体" w:hAnsi="宋体" w:eastAsia="宋体" w:cs="宋体"/>
          <w:i w:val="0"/>
          <w:iCs w:val="0"/>
          <w:caps w:val="0"/>
          <w:color w:val="000000"/>
          <w:spacing w:val="0"/>
          <w:sz w:val="21"/>
          <w:szCs w:val="21"/>
        </w:rPr>
        <w:t>医疗器械生产、经营许可证书增加了许可期限的起始日期。起始日期的获取方式为：首次发证为发证日期；生产经营许可证变更的，新许可证起始日期延用原许可证发证日期；延续发证为原许可证到期日的次日。</w:t>
      </w:r>
    </w:p>
    <w:p w14:paraId="3718C0B6">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20" w:lineRule="atLeast"/>
        <w:ind w:left="0" w:right="0" w:firstLine="420"/>
        <w:rPr>
          <w:color w:val="000000"/>
          <w:sz w:val="21"/>
          <w:szCs w:val="21"/>
        </w:rPr>
      </w:pPr>
      <w:r>
        <w:rPr>
          <w:rFonts w:ascii="宋体" w:hAnsi="宋体" w:eastAsia="宋体" w:cs="宋体"/>
          <w:i w:val="0"/>
          <w:iCs w:val="0"/>
          <w:caps w:val="0"/>
          <w:color w:val="000000"/>
          <w:spacing w:val="0"/>
          <w:sz w:val="21"/>
          <w:szCs w:val="21"/>
        </w:rPr>
        <w:t>我省《医疗器械生产许可证》《第一类医疗器械生产备案凭证》《医疗器械经营许可证》《第二类医疗器械经营备案凭证》均已发放电子证书，电子证书与纸质证书具有同等法律效力。</w:t>
      </w:r>
    </w:p>
    <w:p w14:paraId="0FEFA3C4">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20" w:lineRule="atLeast"/>
        <w:ind w:left="0" w:right="0" w:firstLine="420"/>
        <w:rPr>
          <w:color w:val="000000"/>
          <w:sz w:val="21"/>
          <w:szCs w:val="21"/>
        </w:rPr>
      </w:pPr>
      <w:r>
        <w:rPr>
          <w:rFonts w:ascii="宋体" w:hAnsi="宋体" w:eastAsia="宋体" w:cs="宋体"/>
          <w:i w:val="0"/>
          <w:iCs w:val="0"/>
          <w:caps w:val="0"/>
          <w:color w:val="000000"/>
          <w:spacing w:val="0"/>
          <w:sz w:val="21"/>
          <w:szCs w:val="21"/>
        </w:rPr>
        <w:t>此前规定与本通告不一致的，以本通告为准。</w:t>
      </w:r>
    </w:p>
    <w:p w14:paraId="269C0579">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20" w:lineRule="atLeast"/>
        <w:ind w:left="0" w:right="0" w:firstLine="420"/>
        <w:rPr>
          <w:color w:val="000000"/>
          <w:sz w:val="21"/>
          <w:szCs w:val="21"/>
        </w:rPr>
      </w:pPr>
      <w:r>
        <w:rPr>
          <w:rFonts w:ascii="宋体" w:hAnsi="宋体" w:eastAsia="宋体" w:cs="宋体"/>
          <w:i w:val="0"/>
          <w:iCs w:val="0"/>
          <w:caps w:val="0"/>
          <w:color w:val="000000"/>
          <w:spacing w:val="0"/>
          <w:sz w:val="21"/>
          <w:szCs w:val="21"/>
        </w:rPr>
        <w:t>附件：1、</w:t>
      </w:r>
      <w:r>
        <w:rPr>
          <w:rFonts w:ascii="微软雅黑" w:hAnsi="微软雅黑" w:eastAsia="微软雅黑" w:cs="微软雅黑"/>
          <w:i w:val="0"/>
          <w:iCs w:val="0"/>
          <w:caps w:val="0"/>
          <w:color w:val="000000"/>
          <w:spacing w:val="0"/>
          <w:sz w:val="21"/>
          <w:szCs w:val="21"/>
        </w:rPr>
        <w:drawing>
          <wp:inline distT="0" distB="0" distL="114300" distR="114300">
            <wp:extent cx="152400" cy="1524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152400" cy="152400"/>
                    </a:xfrm>
                    <a:prstGeom prst="rect">
                      <a:avLst/>
                    </a:prstGeom>
                    <a:noFill/>
                    <a:ln w="9525">
                      <a:noFill/>
                    </a:ln>
                  </pic:spPr>
                </pic:pic>
              </a:graphicData>
            </a:graphic>
          </wp:inline>
        </w:drawing>
      </w:r>
      <w:r>
        <w:rPr>
          <w:rFonts w:hint="eastAsia" w:ascii="微软雅黑" w:hAnsi="微软雅黑" w:eastAsia="微软雅黑" w:cs="微软雅黑"/>
          <w:i w:val="0"/>
          <w:iCs w:val="0"/>
          <w:caps w:val="0"/>
          <w:color w:val="0066CC"/>
          <w:spacing w:val="0"/>
          <w:sz w:val="21"/>
          <w:szCs w:val="21"/>
          <w:u w:val="none"/>
        </w:rPr>
        <w:fldChar w:fldCharType="begin"/>
      </w:r>
      <w:r>
        <w:rPr>
          <w:rFonts w:hint="eastAsia" w:ascii="微软雅黑" w:hAnsi="微软雅黑" w:eastAsia="微软雅黑" w:cs="微软雅黑"/>
          <w:i w:val="0"/>
          <w:iCs w:val="0"/>
          <w:caps w:val="0"/>
          <w:color w:val="0066CC"/>
          <w:spacing w:val="0"/>
          <w:sz w:val="21"/>
          <w:szCs w:val="21"/>
          <w:u w:val="none"/>
        </w:rPr>
        <w:instrText xml:space="preserve"> HYPERLINK "https://yjj.hebei.gov.cn/directory/web/hbpda/images/1659578868415026698.doc" \o "附件１.doc" </w:instrText>
      </w:r>
      <w:r>
        <w:rPr>
          <w:rFonts w:hint="eastAsia" w:ascii="微软雅黑" w:hAnsi="微软雅黑" w:eastAsia="微软雅黑" w:cs="微软雅黑"/>
          <w:i w:val="0"/>
          <w:iCs w:val="0"/>
          <w:caps w:val="0"/>
          <w:color w:val="0066CC"/>
          <w:spacing w:val="0"/>
          <w:sz w:val="21"/>
          <w:szCs w:val="21"/>
          <w:u w:val="none"/>
        </w:rPr>
        <w:fldChar w:fldCharType="separate"/>
      </w:r>
      <w:r>
        <w:rPr>
          <w:rStyle w:val="6"/>
          <w:rFonts w:hint="eastAsia" w:ascii="微软雅黑" w:hAnsi="微软雅黑" w:eastAsia="微软雅黑" w:cs="微软雅黑"/>
          <w:i w:val="0"/>
          <w:iCs w:val="0"/>
          <w:caps w:val="0"/>
          <w:color w:val="0066CC"/>
          <w:spacing w:val="0"/>
          <w:sz w:val="21"/>
          <w:szCs w:val="21"/>
          <w:u w:val="none"/>
        </w:rPr>
        <w:t>附件１.doc</w:t>
      </w:r>
      <w:r>
        <w:rPr>
          <w:rFonts w:hint="eastAsia" w:ascii="微软雅黑" w:hAnsi="微软雅黑" w:eastAsia="微软雅黑" w:cs="微软雅黑"/>
          <w:i w:val="0"/>
          <w:iCs w:val="0"/>
          <w:caps w:val="0"/>
          <w:color w:val="0066CC"/>
          <w:spacing w:val="0"/>
          <w:sz w:val="21"/>
          <w:szCs w:val="21"/>
          <w:u w:val="none"/>
        </w:rPr>
        <w:fldChar w:fldCharType="end"/>
      </w:r>
    </w:p>
    <w:p w14:paraId="2DB36A3C">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60" w:lineRule="atLeast"/>
        <w:ind w:left="0" w:right="0" w:firstLine="420"/>
        <w:rPr>
          <w:color w:val="000000"/>
          <w:sz w:val="21"/>
          <w:szCs w:val="21"/>
        </w:rPr>
      </w:pPr>
      <w:r>
        <w:rPr>
          <w:rFonts w:ascii="宋体" w:hAnsi="宋体" w:eastAsia="宋体" w:cs="宋体"/>
          <w:i w:val="0"/>
          <w:iCs w:val="0"/>
          <w:caps w:val="0"/>
          <w:color w:val="000000"/>
          <w:spacing w:val="0"/>
          <w:sz w:val="21"/>
          <w:szCs w:val="21"/>
        </w:rPr>
        <w:t>    2、</w:t>
      </w:r>
      <w:r>
        <w:rPr>
          <w:rFonts w:hint="eastAsia" w:ascii="微软雅黑" w:hAnsi="微软雅黑" w:eastAsia="微软雅黑" w:cs="微软雅黑"/>
          <w:i w:val="0"/>
          <w:iCs w:val="0"/>
          <w:caps w:val="0"/>
          <w:color w:val="000000"/>
          <w:spacing w:val="0"/>
          <w:sz w:val="21"/>
          <w:szCs w:val="21"/>
        </w:rPr>
        <w:drawing>
          <wp:inline distT="0" distB="0" distL="114300" distR="114300">
            <wp:extent cx="152400" cy="152400"/>
            <wp:effectExtent l="0" t="0" r="0" b="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4"/>
                    <a:stretch>
                      <a:fillRect/>
                    </a:stretch>
                  </pic:blipFill>
                  <pic:spPr>
                    <a:xfrm>
                      <a:off x="0" y="0"/>
                      <a:ext cx="152400" cy="152400"/>
                    </a:xfrm>
                    <a:prstGeom prst="rect">
                      <a:avLst/>
                    </a:prstGeom>
                    <a:noFill/>
                    <a:ln w="9525">
                      <a:noFill/>
                    </a:ln>
                  </pic:spPr>
                </pic:pic>
              </a:graphicData>
            </a:graphic>
          </wp:inline>
        </w:drawing>
      </w:r>
      <w:r>
        <w:rPr>
          <w:rFonts w:hint="eastAsia" w:ascii="微软雅黑" w:hAnsi="微软雅黑" w:eastAsia="微软雅黑" w:cs="微软雅黑"/>
          <w:i w:val="0"/>
          <w:iCs w:val="0"/>
          <w:caps w:val="0"/>
          <w:color w:val="0066CC"/>
          <w:spacing w:val="0"/>
          <w:sz w:val="21"/>
          <w:szCs w:val="21"/>
          <w:u w:val="none"/>
        </w:rPr>
        <w:fldChar w:fldCharType="begin"/>
      </w:r>
      <w:r>
        <w:rPr>
          <w:rFonts w:hint="eastAsia" w:ascii="微软雅黑" w:hAnsi="微软雅黑" w:eastAsia="微软雅黑" w:cs="微软雅黑"/>
          <w:i w:val="0"/>
          <w:iCs w:val="0"/>
          <w:caps w:val="0"/>
          <w:color w:val="0066CC"/>
          <w:spacing w:val="0"/>
          <w:sz w:val="21"/>
          <w:szCs w:val="21"/>
          <w:u w:val="none"/>
        </w:rPr>
        <w:instrText xml:space="preserve"> HYPERLINK "https://yjj.hebei.gov.cn/directory/web/hbpda/images/1659578885552014603.doc" \o "附件２.doc" </w:instrText>
      </w:r>
      <w:r>
        <w:rPr>
          <w:rFonts w:hint="eastAsia" w:ascii="微软雅黑" w:hAnsi="微软雅黑" w:eastAsia="微软雅黑" w:cs="微软雅黑"/>
          <w:i w:val="0"/>
          <w:iCs w:val="0"/>
          <w:caps w:val="0"/>
          <w:color w:val="0066CC"/>
          <w:spacing w:val="0"/>
          <w:sz w:val="21"/>
          <w:szCs w:val="21"/>
          <w:u w:val="none"/>
        </w:rPr>
        <w:fldChar w:fldCharType="separate"/>
      </w:r>
      <w:r>
        <w:rPr>
          <w:rStyle w:val="6"/>
          <w:rFonts w:hint="eastAsia" w:ascii="微软雅黑" w:hAnsi="微软雅黑" w:eastAsia="微软雅黑" w:cs="微软雅黑"/>
          <w:i w:val="0"/>
          <w:iCs w:val="0"/>
          <w:caps w:val="0"/>
          <w:color w:val="0066CC"/>
          <w:spacing w:val="0"/>
          <w:sz w:val="21"/>
          <w:szCs w:val="21"/>
          <w:u w:val="none"/>
        </w:rPr>
        <w:t>附件２.doc</w:t>
      </w:r>
      <w:r>
        <w:rPr>
          <w:rFonts w:hint="eastAsia" w:ascii="微软雅黑" w:hAnsi="微软雅黑" w:eastAsia="微软雅黑" w:cs="微软雅黑"/>
          <w:i w:val="0"/>
          <w:iCs w:val="0"/>
          <w:caps w:val="0"/>
          <w:color w:val="0066CC"/>
          <w:spacing w:val="0"/>
          <w:sz w:val="21"/>
          <w:szCs w:val="21"/>
          <w:u w:val="none"/>
        </w:rPr>
        <w:fldChar w:fldCharType="end"/>
      </w:r>
    </w:p>
    <w:p w14:paraId="49A64377">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160" w:afterAutospacing="0" w:line="420" w:lineRule="atLeast"/>
        <w:ind w:left="0" w:right="0" w:firstLine="420"/>
        <w:rPr>
          <w:color w:val="000000"/>
          <w:sz w:val="21"/>
          <w:szCs w:val="21"/>
        </w:rPr>
      </w:pPr>
    </w:p>
    <w:p w14:paraId="7AC4ED23">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20" w:lineRule="atLeast"/>
        <w:ind w:left="0" w:right="0" w:firstLine="420"/>
        <w:rPr>
          <w:color w:val="000000"/>
          <w:sz w:val="21"/>
          <w:szCs w:val="21"/>
        </w:rPr>
      </w:pPr>
      <w:r>
        <w:rPr>
          <w:rFonts w:ascii="宋体" w:hAnsi="宋体" w:eastAsia="宋体" w:cs="宋体"/>
          <w:i w:val="0"/>
          <w:iCs w:val="0"/>
          <w:caps w:val="0"/>
          <w:color w:val="000000"/>
          <w:spacing w:val="0"/>
          <w:sz w:val="21"/>
          <w:szCs w:val="21"/>
        </w:rPr>
        <w:t> </w:t>
      </w:r>
    </w:p>
    <w:p w14:paraId="452C5294">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20" w:lineRule="atLeast"/>
        <w:ind w:left="0" w:right="0" w:firstLine="420"/>
        <w:jc w:val="right"/>
        <w:rPr>
          <w:color w:val="000000"/>
          <w:sz w:val="21"/>
          <w:szCs w:val="21"/>
        </w:rPr>
      </w:pPr>
      <w:r>
        <w:rPr>
          <w:rFonts w:ascii="宋体" w:hAnsi="宋体" w:eastAsia="宋体" w:cs="宋体"/>
          <w:i w:val="0"/>
          <w:iCs w:val="0"/>
          <w:caps w:val="0"/>
          <w:color w:val="000000"/>
          <w:spacing w:val="0"/>
          <w:sz w:val="21"/>
          <w:szCs w:val="21"/>
        </w:rPr>
        <w:t>                            河北省药品监督管理局</w:t>
      </w:r>
    </w:p>
    <w:p w14:paraId="41368CE1">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20" w:lineRule="atLeast"/>
        <w:ind w:left="0" w:right="0" w:firstLine="420"/>
        <w:jc w:val="right"/>
        <w:rPr>
          <w:color w:val="000000"/>
          <w:sz w:val="21"/>
          <w:szCs w:val="21"/>
        </w:rPr>
      </w:pPr>
      <w:r>
        <w:rPr>
          <w:rFonts w:ascii="宋体" w:hAnsi="宋体" w:eastAsia="宋体" w:cs="宋体"/>
          <w:i w:val="0"/>
          <w:iCs w:val="0"/>
          <w:caps w:val="0"/>
          <w:color w:val="000000"/>
          <w:spacing w:val="0"/>
          <w:sz w:val="21"/>
          <w:szCs w:val="21"/>
        </w:rPr>
        <w:t>                         2022年8月1日</w:t>
      </w:r>
    </w:p>
    <w:p w14:paraId="1A4C9CEF">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20" w:lineRule="atLeast"/>
        <w:ind w:left="0" w:right="0" w:firstLine="420"/>
      </w:pPr>
      <w:r>
        <w:rPr>
          <w:rFonts w:ascii="宋体" w:hAnsi="宋体" w:eastAsia="宋体" w:cs="宋体"/>
          <w:i w:val="0"/>
          <w:iCs w:val="0"/>
          <w:caps w:val="0"/>
          <w:color w:val="000000"/>
          <w:spacing w:val="0"/>
          <w:sz w:val="21"/>
          <w:szCs w:val="21"/>
        </w:rPr>
        <w:t>（信息公开类型：主动公开）</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9AA2767"/>
    <w:rsid w:val="77E208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GI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3585</Words>
  <Characters>3672</Characters>
  <Lines>0</Lines>
  <Paragraphs>0</Paragraphs>
  <TotalTime>4</TotalTime>
  <ScaleCrop>false</ScaleCrop>
  <LinksUpToDate>false</LinksUpToDate>
  <CharactersWithSpaces>3733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2025-08-25T03:24:00Z</dcterms:created>
  <dc:creator>86159</dc:creator>
  <cp:lastModifiedBy>江竞</cp:lastModifiedBy>
  <dcterms:modified xsi:type="dcterms:W3CDTF">2025-08-25T03:40:20Z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eyJoZGlkIjoiNzliYzg0YmZlN2I0M2Q3ODBkMzk3NGQ1MzlkMTQ2ZDYiLCJ1c2VySWQiOiI0NDM5OTA1MzgifQ==</vt:lpwstr>
  </property>
  <property fmtid="{D5CDD505-2E9C-101B-9397-08002B2CF9AE}" pid="4" name="ICV">
    <vt:lpwstr>C30943FA6F954EEC8AFA12158BECFF63_12</vt:lpwstr>
  </property>
</Properties>
</file>